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DED" w:rsidRDefault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ДӘРІС-1</w:t>
      </w:r>
      <w:r w:rsidR="00F87775">
        <w:rPr>
          <w:rFonts w:ascii="Times New Roman" w:hAnsi="Times New Roman" w:cs="Times New Roman"/>
          <w:b/>
          <w:sz w:val="28"/>
          <w:szCs w:val="28"/>
          <w:lang w:val="kk-KZ"/>
        </w:rPr>
        <w:t>4</w:t>
      </w:r>
      <w:bookmarkStart w:id="0" w:name="_GoBack"/>
      <w:bookmarkEnd w:id="0"/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9D7FFE">
        <w:rPr>
          <w:rFonts w:ascii="Times New Roman" w:hAnsi="Times New Roman" w:cs="Times New Roman"/>
          <w:b/>
          <w:sz w:val="28"/>
          <w:szCs w:val="28"/>
        </w:rPr>
        <w:t xml:space="preserve">Құрғатылған </w:t>
      </w:r>
      <w:proofErr w:type="spellStart"/>
      <w:r w:rsidRPr="009D7FFE">
        <w:rPr>
          <w:rFonts w:ascii="Times New Roman" w:hAnsi="Times New Roman" w:cs="Times New Roman"/>
          <w:b/>
          <w:sz w:val="28"/>
          <w:szCs w:val="28"/>
        </w:rPr>
        <w:t>топырағы</w:t>
      </w:r>
      <w:proofErr w:type="spellEnd"/>
      <w:r w:rsidRPr="009D7FFE">
        <w:rPr>
          <w:rFonts w:ascii="Times New Roman" w:hAnsi="Times New Roman" w:cs="Times New Roman"/>
          <w:b/>
          <w:sz w:val="28"/>
          <w:szCs w:val="28"/>
        </w:rPr>
        <w:t xml:space="preserve"> бар </w:t>
      </w:r>
      <w:proofErr w:type="spellStart"/>
      <w:r w:rsidRPr="009D7FFE">
        <w:rPr>
          <w:rFonts w:ascii="Times New Roman" w:hAnsi="Times New Roman" w:cs="Times New Roman"/>
          <w:b/>
          <w:sz w:val="28"/>
          <w:szCs w:val="28"/>
        </w:rPr>
        <w:t>ағашы</w:t>
      </w:r>
      <w:proofErr w:type="spellEnd"/>
      <w:r w:rsidRPr="009D7F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D7FFE">
        <w:rPr>
          <w:rFonts w:ascii="Times New Roman" w:hAnsi="Times New Roman" w:cs="Times New Roman"/>
          <w:b/>
          <w:sz w:val="28"/>
          <w:szCs w:val="28"/>
        </w:rPr>
        <w:t>кесілген</w:t>
      </w:r>
      <w:proofErr w:type="spellEnd"/>
      <w:r w:rsidRPr="009D7F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D7FFE">
        <w:rPr>
          <w:rFonts w:ascii="Times New Roman" w:hAnsi="Times New Roman" w:cs="Times New Roman"/>
          <w:b/>
          <w:sz w:val="28"/>
          <w:szCs w:val="28"/>
        </w:rPr>
        <w:t>жерлерде</w:t>
      </w:r>
      <w:proofErr w:type="spellEnd"/>
      <w:r w:rsidRPr="009D7F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D7FFE">
        <w:rPr>
          <w:rFonts w:ascii="Times New Roman" w:hAnsi="Times New Roman" w:cs="Times New Roman"/>
          <w:b/>
          <w:sz w:val="28"/>
          <w:szCs w:val="28"/>
        </w:rPr>
        <w:t>орман</w:t>
      </w:r>
      <w:proofErr w:type="spellEnd"/>
      <w:r w:rsidRPr="009D7F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D7FFE">
        <w:rPr>
          <w:rFonts w:ascii="Times New Roman" w:hAnsi="Times New Roman" w:cs="Times New Roman"/>
          <w:b/>
          <w:sz w:val="28"/>
          <w:szCs w:val="28"/>
        </w:rPr>
        <w:t>дақылдарын</w:t>
      </w:r>
      <w:proofErr w:type="spellEnd"/>
      <w:r w:rsidRPr="009D7F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D7FFE">
        <w:rPr>
          <w:rFonts w:ascii="Times New Roman" w:hAnsi="Times New Roman" w:cs="Times New Roman"/>
          <w:b/>
          <w:sz w:val="28"/>
          <w:szCs w:val="28"/>
        </w:rPr>
        <w:t>құру</w:t>
      </w:r>
      <w:proofErr w:type="spellEnd"/>
      <w:r w:rsidRPr="009D7FF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D7FFE">
        <w:rPr>
          <w:rFonts w:ascii="Times New Roman" w:hAnsi="Times New Roman" w:cs="Times New Roman"/>
          <w:b/>
          <w:sz w:val="28"/>
          <w:szCs w:val="28"/>
        </w:rPr>
        <w:t>үшін</w:t>
      </w:r>
      <w:proofErr w:type="spellEnd"/>
      <w:r w:rsidRPr="009D7FFE">
        <w:rPr>
          <w:rFonts w:ascii="Times New Roman" w:hAnsi="Times New Roman" w:cs="Times New Roman"/>
          <w:b/>
          <w:sz w:val="28"/>
          <w:szCs w:val="28"/>
        </w:rPr>
        <w:t xml:space="preserve"> ТКМ </w:t>
      </w:r>
      <w:proofErr w:type="spellStart"/>
      <w:r w:rsidRPr="009D7FFE">
        <w:rPr>
          <w:rFonts w:ascii="Times New Roman" w:hAnsi="Times New Roman" w:cs="Times New Roman"/>
          <w:b/>
          <w:sz w:val="28"/>
          <w:szCs w:val="28"/>
        </w:rPr>
        <w:t>жобалау</w:t>
      </w:r>
      <w:proofErr w:type="spellEnd"/>
    </w:p>
    <w:p w:rsidR="009D7FFE" w:rsidRDefault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Бұл жұмысты орындау кезінде келесі әрекеттерді орындау қажет: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технологиялық процесс операцияларын таңдау [1, 3],: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машиналар мен агрегатталатын тракторлардың маркаларын анықтау;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операцияларды орындаудың ең жақсы агротехникалық мерзімдерін негіздеу;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барлық МТА қозғалыс сұлбасын сызу;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қажетті МТА санын есептеңіз;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- 1-кесте нысаны бойынша есептеу нәтижелерін азайту;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тракторларды пайдалану кестесін құру;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трактор паркін пайдалану коэффициентінің шамасын есептеу.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Осы жағдайларда орман екпелерін құруды екі тәсілмен жүргізуге болады[1, 69-70 Б.]. Жұмыс технологиясын таңдау жобалау тапсырмасымен анықталады.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Орман дақылдарын құрғату арықтарының арасында тазартылған жолақтар бойынша құру кезінде алдымен құрғату арналарына арналған трассалар тазартылады. Осы мақсатта т-130М тракторы негізінде МП-7А тамыр жинағыш-жинағышты пайдалануға болады.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осы жұмысты орындау үшін келесі әрекеттерді орындау қажет: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технологиялық процесс операцияларын таңдау [1, 3],: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машиналар мен агрегатталатын тракторлардың маркаларын анықтау;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операцияларды орындаудың ең жақсы агротехникалық мерзімдерін негіздеу;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қажетті МТА санын есептеңіз;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- 1-кесте нысаны бойынша есептеу нәтижелерін азайту;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тракторларды пайдалану кестесін құру;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ауысым коэффициентінің шамасын есептеңіз.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 xml:space="preserve">Көздегі операциялар мен машиналардың толық тізімі [1, 61-64 б.]. Тапсырмада (3-кесте) TKM-ге міндетті түрде қосылуы керек машина маркасы бар екеніне назар аударыңыз (мысалы, бұл ПЛ-1 соқасы). Қалған машиналардың маркаларын таңдау ПЛ-1 соқасы топырақты бороздармен дайындайтындығымен байланысты болуы керек. Тиісінше, </w:t>
      </w: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берілген шарттар үшін келесі операциялар мен машиналарды таңдауға болады: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АЕК-2А машинасымен жолақты тазалау: жолақтардың ені 2 м, олардың орталықтары арасындағы қашықтық 4 м (тапсырма бойынша);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-ПЛ-1 соқасымен бороздарды кесу (тапсырма бойынша);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-МЛУ-1 Әмбебап ағаш отырғызу машинасының бороздары бойынша ашық тамыр жүйесі бар көшеттерді отырғызу;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-орман борозы КЛБ-1,7 культиваторына агротехникалық күтім жасау;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-көк-2 мұз айдынымен дақылдарды жарықтандыру.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Барлық таңдалған машиналар ЛХТ-100А тракторымен біріктіріледі.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Операцияларды орындау мерзімдерін және агротехникалық күтулердің қажетті санын таңдағанда анықтамалық әдебиеттерді басшылыққа алу керек [7].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3-кесте-бастапқы деректер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Нұсқа нөмірі ауданы, га аймағы қолжетімділік санаты машина маркасы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а1 ПКЛ-70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а2 ПЛД-1.2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ФЛУ-0.8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а4 ПЛ-1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б1 МЛФ-0.8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б2 МЛУ-1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СЖН-1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3-кестенің жалғасы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Нұсқа нөмірі ауданы, га аймағы қолжетімділік санаты машина маркасы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А1 КЛБ-1.7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а2 КДС-1.8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ПКЛ-70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а4 ПЛД-1.2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ФЛУ-0.8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б2 ПЛ-1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МЛФ-0.8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МЛУ-1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а4 СЖН-1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КЛБ-1.7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КДС-1.8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ПКЛ-70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б2 ПЛД-1.2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ФЛУ-0.8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а3 ПЛ-1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а4 МЛФ-0.8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б3 МЛУ-1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а3 СЖН-1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Ағаш кесілген жерлердегі орманды қалпына келтіруге арналған көптеген машиналардың ауысымдық өнімділігін есептеудің ерекшелігі машина жүйесінде [1, 74-87 Б.] ол км/сағ берілген, сондықтан оны га/сағ-қа қайта есептеу үшін машинаның 1 га-ға өтетін жолын білу қажет.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LHT-100A + PL-1 қондырғысы үшін есептеу мысалын келтірейік. Соқаның Сағаттық өнімділігі П / сағ = 1,5 км/сағ.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1 га агрегатпен өтетін жол машинаның өту қашықтығына байланысты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, (7)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мұндағы А-машинаның өтетін жерлері арасындағы қашықтық.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Бұл жағдайда машинаның өткелдері арасындағы қашықтық жолдар арасындағы енге тең және 4 м құрайды.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км/га.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Сонда га/сағ өнімділігі формула бойынша есептелуі мүмкін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; (8)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ӨС = 1,5 км / сағ: 2,5 км/га = 0,6 га/сағ.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Агрегаттардың қажетті санын одан әрі есептеу (1-6) формулалар бойынша орындалады.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Барлық көлемді аз мөлшерде тракторлар мен олармен агрегатталатын орман шаруашылығы машиналарын орындауға ұмтылу керек.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ТКМ есептеулерінің нәтижелері кестеге жинақталады (1-кесте нысаны бойынша).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Ауысым коэффициенті агрегаттардың тәулік уақытын пайдалану дәрежесін сипаттайды. Ол өрнектен анықталады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, (9)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мұндағы å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См-ауысым маусымында жұмыс істегендердің жиынтық саны;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- маусымда жұмыс істеген жұмыс күндерінің жиынтық саны.</w:t>
      </w:r>
    </w:p>
    <w:p w:rsidR="009D7FFE" w:rsidRP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D7FFE" w:rsidRDefault="009D7FFE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D7FFE">
        <w:rPr>
          <w:rFonts w:ascii="Times New Roman" w:hAnsi="Times New Roman" w:cs="Times New Roman"/>
          <w:b/>
          <w:sz w:val="28"/>
          <w:szCs w:val="28"/>
          <w:lang w:val="kk-KZ"/>
        </w:rPr>
        <w:t>Ауыстыру коэффициенті әр маркалы тракторлар үшін және барлық брендтер үшін есептеледі.</w:t>
      </w:r>
    </w:p>
    <w:p w:rsidR="002D3594" w:rsidRDefault="002D3594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5940425" cy="3344042"/>
            <wp:effectExtent l="19050" t="0" r="3175" b="0"/>
            <wp:docPr id="4" name="Рисунок 4" descr="http://i.ytimg.com/vi/qkuYOhSvGoI/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.ytimg.com/vi/qkuYOhSvGoI/maxresdefaul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4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594" w:rsidRPr="009D7FFE" w:rsidRDefault="002D3594" w:rsidP="009D7FFE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5940425" cy="3309683"/>
            <wp:effectExtent l="19050" t="0" r="3175" b="0"/>
            <wp:docPr id="1" name="Рисунок 1" descr="https://www.belta.by/images/storage/news/with_archive/2017/000023_832469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belta.by/images/storage/news/with_archive/2017/000023_832469_bi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09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3594" w:rsidRPr="009D7FFE" w:rsidSect="009C1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FFE"/>
    <w:rsid w:val="002D3594"/>
    <w:rsid w:val="009C1DED"/>
    <w:rsid w:val="009D7FFE"/>
    <w:rsid w:val="00F8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3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35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3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35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621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Елибек Асангалиев</cp:lastModifiedBy>
  <cp:revision>2</cp:revision>
  <dcterms:created xsi:type="dcterms:W3CDTF">2021-09-01T04:20:00Z</dcterms:created>
  <dcterms:modified xsi:type="dcterms:W3CDTF">2021-09-01T04:20:00Z</dcterms:modified>
</cp:coreProperties>
</file>